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15084A" w:rsidP="0015084A">
      <w:pPr>
        <w:pStyle w:val="Heading1"/>
      </w:pPr>
      <w:r w:rsidRPr="0015084A">
        <w:t>GN 5 1 C 59 Agreement between Merchants and Boatkeepers re cost of goods</w:t>
      </w:r>
      <w:r>
        <w:t>,</w:t>
      </w:r>
      <w:r w:rsidRPr="0015084A">
        <w:t xml:space="preserve"> 15 Apr 1816</w:t>
      </w:r>
    </w:p>
    <w:p w:rsidR="0015084A" w:rsidRDefault="0015084A" w:rsidP="0015084A"/>
    <w:p w:rsidR="0015084A" w:rsidRPr="002C634F" w:rsidRDefault="0015084A" w:rsidP="002C634F">
      <w:pPr>
        <w:ind w:left="720"/>
        <w:rPr>
          <w:rStyle w:val="IntenseEmphasis"/>
          <w:u w:val="single"/>
        </w:rPr>
      </w:pPr>
      <w:r w:rsidRPr="002C634F">
        <w:rPr>
          <w:rStyle w:val="IntenseEmphasis"/>
          <w:u w:val="single"/>
        </w:rPr>
        <w:t>Editorial Note:</w:t>
      </w:r>
    </w:p>
    <w:p w:rsidR="00051003" w:rsidRDefault="0015084A" w:rsidP="002C634F">
      <w:pPr>
        <w:ind w:left="720"/>
        <w:rPr>
          <w:rStyle w:val="IntenseEmphasis"/>
        </w:rPr>
      </w:pPr>
      <w:r w:rsidRPr="002C634F">
        <w:rPr>
          <w:rStyle w:val="IntenseEmphasis"/>
        </w:rPr>
        <w:t>This is a very interesting and important historical document for several reasons. First, and most obvious, because it gives the names of merchants and their agents, as well as the principal Boatkeepers operating</w:t>
      </w:r>
      <w:r w:rsidR="00051003">
        <w:rPr>
          <w:rStyle w:val="IntenseEmphasis"/>
        </w:rPr>
        <w:t xml:space="preserve"> in the Ferryland area in 1816.</w:t>
      </w:r>
    </w:p>
    <w:p w:rsidR="00051003" w:rsidRDefault="00051003" w:rsidP="002C634F">
      <w:pPr>
        <w:ind w:left="720"/>
        <w:rPr>
          <w:rStyle w:val="IntenseEmphasis"/>
        </w:rPr>
      </w:pPr>
    </w:p>
    <w:p w:rsidR="0015084A" w:rsidRDefault="0015084A" w:rsidP="002C634F">
      <w:pPr>
        <w:ind w:left="720"/>
        <w:rPr>
          <w:rStyle w:val="IntenseEmphasis"/>
        </w:rPr>
      </w:pPr>
      <w:r w:rsidRPr="002C634F">
        <w:rPr>
          <w:rStyle w:val="IntenseEmphasis"/>
        </w:rPr>
        <w:t xml:space="preserve">But above and beyond that, this agreement </w:t>
      </w:r>
      <w:r w:rsidR="00051003">
        <w:rPr>
          <w:rStyle w:val="IntenseEmphasis"/>
        </w:rPr>
        <w:t>shows how merchants and principal planters (Boatkeepers) ran their affairs in such a way as to not tread on each other</w:t>
      </w:r>
      <w:r w:rsidR="00051003">
        <w:rPr>
          <w:rStyle w:val="IntenseEmphasis"/>
        </w:rPr>
        <w:t>’</w:t>
      </w:r>
      <w:r w:rsidR="00051003">
        <w:rPr>
          <w:rStyle w:val="IntenseEmphasis"/>
        </w:rPr>
        <w:t>s toes economically</w:t>
      </w:r>
      <w:r w:rsidRPr="002C634F">
        <w:rPr>
          <w:rStyle w:val="IntenseEmphasis"/>
        </w:rPr>
        <w:t>.</w:t>
      </w:r>
      <w:r w:rsidR="00051003">
        <w:rPr>
          <w:rStyle w:val="IntenseEmphasis"/>
        </w:rPr>
        <w:t xml:space="preserve"> By signing an agreement to govern the beginning and end of a season of supplying the industry, they effectively prevented any one merchant </w:t>
      </w:r>
      <w:r w:rsidR="00B40ADE">
        <w:rPr>
          <w:rStyle w:val="IntenseEmphasis"/>
        </w:rPr>
        <w:t>getting a jump on the others in planning for the next season</w:t>
      </w:r>
      <w:r w:rsidR="00B40ADE">
        <w:rPr>
          <w:rStyle w:val="IntenseEmphasis"/>
        </w:rPr>
        <w:t>’</w:t>
      </w:r>
      <w:r w:rsidR="00B40ADE">
        <w:rPr>
          <w:rStyle w:val="IntenseEmphasis"/>
        </w:rPr>
        <w:t>s work</w:t>
      </w:r>
      <w:bookmarkStart w:id="0" w:name="_GoBack"/>
      <w:bookmarkEnd w:id="0"/>
      <w:r w:rsidR="00711050">
        <w:rPr>
          <w:rStyle w:val="IntenseEmphasis"/>
        </w:rPr>
        <w:t>.</w:t>
      </w:r>
    </w:p>
    <w:p w:rsidR="00813C2B" w:rsidRDefault="00813C2B" w:rsidP="002C634F">
      <w:pPr>
        <w:ind w:left="720"/>
        <w:rPr>
          <w:rStyle w:val="IntenseEmphasis"/>
        </w:rPr>
      </w:pPr>
    </w:p>
    <w:p w:rsidR="002C634F" w:rsidRDefault="002C634F" w:rsidP="0015084A"/>
    <w:p w:rsidR="00DB58FA" w:rsidRDefault="00DB58FA" w:rsidP="0015084A"/>
    <w:p w:rsidR="002C634F" w:rsidRDefault="00DB58FA" w:rsidP="0015084A">
      <w:r>
        <w:t>We the undersigned Merchants and Principal Boatkeepers in the</w:t>
      </w:r>
    </w:p>
    <w:p w:rsidR="00DB58FA" w:rsidRDefault="00DB58FA" w:rsidP="0015084A">
      <w:r>
        <w:t>District of Ferryland having met for the purpose of As</w:t>
      </w:r>
    </w:p>
    <w:p w:rsidR="00DB58FA" w:rsidRDefault="00DB58FA" w:rsidP="0015084A">
      <w:proofErr w:type="spellStart"/>
      <w:r>
        <w:t>certaining</w:t>
      </w:r>
      <w:proofErr w:type="spellEnd"/>
      <w:r>
        <w:t xml:space="preserve"> and determining the Period to commence</w:t>
      </w:r>
    </w:p>
    <w:p w:rsidR="00DB58FA" w:rsidRDefault="00DB58FA" w:rsidP="0015084A">
      <w:r>
        <w:t>Current Supplies in each future year in the said District</w:t>
      </w:r>
    </w:p>
    <w:p w:rsidR="00DB58FA" w:rsidRDefault="00DB58FA" w:rsidP="0015084A">
      <w:r>
        <w:t>have hereby mutually agreed</w:t>
      </w:r>
      <w:r w:rsidR="00813C2B">
        <w:t>.</w:t>
      </w:r>
      <w:r>
        <w:t xml:space="preserve"> That all Goods &amp; Mer</w:t>
      </w:r>
    </w:p>
    <w:p w:rsidR="00DB58FA" w:rsidRDefault="00DB58FA" w:rsidP="0015084A">
      <w:proofErr w:type="spellStart"/>
      <w:r>
        <w:t>chandize</w:t>
      </w:r>
      <w:proofErr w:type="spellEnd"/>
      <w:r>
        <w:t xml:space="preserve"> Supplied to Dealers at and from the 10</w:t>
      </w:r>
      <w:r w:rsidRPr="00DB58FA">
        <w:rPr>
          <w:vertAlign w:val="superscript"/>
        </w:rPr>
        <w:t>th</w:t>
      </w:r>
      <w:r>
        <w:t xml:space="preserve"> </w:t>
      </w:r>
    </w:p>
    <w:p w:rsidR="00DB58FA" w:rsidRDefault="00DB58FA" w:rsidP="0015084A">
      <w:r>
        <w:t>day of November in the Current year to the 10</w:t>
      </w:r>
      <w:r w:rsidRPr="00DB58FA">
        <w:rPr>
          <w:vertAlign w:val="superscript"/>
        </w:rPr>
        <w:t>th</w:t>
      </w:r>
      <w:r>
        <w:t xml:space="preserve"> </w:t>
      </w:r>
    </w:p>
    <w:p w:rsidR="00DB58FA" w:rsidRDefault="00DB58FA" w:rsidP="0015084A">
      <w:r>
        <w:t>day of November in the year thence next following</w:t>
      </w:r>
    </w:p>
    <w:p w:rsidR="00DB58FA" w:rsidRDefault="00DB58FA" w:rsidP="0015084A">
      <w:r>
        <w:t>shall be considered the Current Supply of the Year</w:t>
      </w:r>
    </w:p>
    <w:p w:rsidR="00DB58FA" w:rsidRDefault="00DB58FA" w:rsidP="0015084A">
      <w:r>
        <w:t>In Witness whereof we have hereunto our hand</w:t>
      </w:r>
    </w:p>
    <w:p w:rsidR="00DB58FA" w:rsidRDefault="00DB58FA" w:rsidP="0015084A">
      <w:r>
        <w:t>in presence of each other this 15</w:t>
      </w:r>
      <w:r w:rsidRPr="00DB58FA">
        <w:rPr>
          <w:vertAlign w:val="superscript"/>
        </w:rPr>
        <w:t>th</w:t>
      </w:r>
      <w:r>
        <w:t xml:space="preserve"> day of April</w:t>
      </w:r>
    </w:p>
    <w:p w:rsidR="00DB58FA" w:rsidRDefault="00DB58FA" w:rsidP="0015084A">
      <w:r>
        <w:t>1816</w:t>
      </w:r>
      <w:r>
        <w:tab/>
      </w:r>
      <w:r>
        <w:tab/>
        <w:t>Signed</w:t>
      </w:r>
    </w:p>
    <w:p w:rsidR="00DB58FA" w:rsidRDefault="00DB58FA" w:rsidP="0015084A">
      <w:r>
        <w:tab/>
      </w:r>
      <w:r>
        <w:tab/>
      </w:r>
      <w:r>
        <w:tab/>
        <w:t>Matthew Morry &amp; Co.</w:t>
      </w:r>
    </w:p>
    <w:p w:rsidR="00DB58FA" w:rsidRDefault="00DB58FA" w:rsidP="0015084A">
      <w:r>
        <w:tab/>
      </w:r>
      <w:r>
        <w:tab/>
      </w:r>
      <w:r>
        <w:tab/>
        <w:t>for Henry Holdsworth</w:t>
      </w:r>
      <w:r w:rsidR="00B40ADE">
        <w:rPr>
          <w:rStyle w:val="FootnoteReference"/>
        </w:rPr>
        <w:footnoteReference w:id="1"/>
      </w:r>
    </w:p>
    <w:p w:rsidR="00DB58FA" w:rsidRDefault="00DB58FA" w:rsidP="0015084A">
      <w:r>
        <w:tab/>
      </w:r>
      <w:r>
        <w:tab/>
      </w:r>
      <w:r>
        <w:tab/>
        <w:t>William Teague</w:t>
      </w:r>
    </w:p>
    <w:p w:rsidR="00DB58FA" w:rsidRDefault="00DB58FA" w:rsidP="0015084A">
      <w:r>
        <w:tab/>
      </w:r>
      <w:r>
        <w:tab/>
      </w:r>
      <w:r>
        <w:tab/>
      </w:r>
      <w:r w:rsidRPr="00CC4FD4">
        <w:t>W</w:t>
      </w:r>
      <w:r w:rsidRPr="00CC4FD4">
        <w:rPr>
          <w:vertAlign w:val="superscript"/>
        </w:rPr>
        <w:t>m.</w:t>
      </w:r>
      <w:r w:rsidRPr="00CC4FD4">
        <w:t xml:space="preserve"> </w:t>
      </w:r>
      <w:r>
        <w:t xml:space="preserve"> &amp; B. Sweetland &amp; Co.</w:t>
      </w:r>
    </w:p>
    <w:p w:rsidR="00DB58FA" w:rsidRDefault="00DB58FA" w:rsidP="0015084A">
      <w:r>
        <w:tab/>
      </w:r>
      <w:r>
        <w:tab/>
      </w:r>
      <w:r>
        <w:tab/>
        <w:t xml:space="preserve">Robert and </w:t>
      </w:r>
      <w:r w:rsidRPr="009D2AC5">
        <w:t>J</w:t>
      </w:r>
      <w:r w:rsidR="00711050">
        <w:t>a</w:t>
      </w:r>
      <w:r w:rsidR="00711050" w:rsidRPr="00711050">
        <w:rPr>
          <w:vertAlign w:val="superscript"/>
        </w:rPr>
        <w:t>s.</w:t>
      </w:r>
      <w:r w:rsidR="00711050">
        <w:t xml:space="preserve"> </w:t>
      </w:r>
      <w:r>
        <w:t xml:space="preserve"> H. Carter</w:t>
      </w:r>
    </w:p>
    <w:p w:rsidR="00DB58FA" w:rsidRDefault="00DB58FA" w:rsidP="0015084A">
      <w:r>
        <w:tab/>
      </w:r>
      <w:r>
        <w:tab/>
      </w:r>
      <w:r>
        <w:tab/>
        <w:t>Francis Tree</w:t>
      </w:r>
    </w:p>
    <w:p w:rsidR="00DB58FA" w:rsidRDefault="00DB58FA" w:rsidP="0015084A">
      <w:r>
        <w:tab/>
      </w:r>
      <w:r>
        <w:tab/>
      </w:r>
      <w:r>
        <w:tab/>
        <w:t>for Hunt Stabb Preston &amp; Co.</w:t>
      </w:r>
    </w:p>
    <w:p w:rsidR="00DB58FA" w:rsidRDefault="00DB58FA" w:rsidP="0015084A">
      <w:r>
        <w:tab/>
      </w:r>
      <w:r>
        <w:tab/>
      </w:r>
      <w:r>
        <w:tab/>
        <w:t>John Row</w:t>
      </w:r>
    </w:p>
    <w:p w:rsidR="00DB58FA" w:rsidRDefault="00711050" w:rsidP="0015084A">
      <w:r>
        <w:tab/>
      </w:r>
      <w:r>
        <w:tab/>
      </w:r>
      <w:r>
        <w:tab/>
        <w:t>John Newman</w:t>
      </w:r>
    </w:p>
    <w:p w:rsidR="00DB58FA" w:rsidRDefault="00DB58FA" w:rsidP="0015084A">
      <w:r>
        <w:tab/>
      </w:r>
      <w:r>
        <w:tab/>
      </w:r>
      <w:r>
        <w:tab/>
        <w:t>Thomas Norris</w:t>
      </w:r>
    </w:p>
    <w:p w:rsidR="00DB58FA" w:rsidRDefault="00DB58FA" w:rsidP="0015084A">
      <w:r>
        <w:tab/>
      </w:r>
      <w:r>
        <w:tab/>
      </w:r>
      <w:r>
        <w:tab/>
        <w:t>Sam. G. Carter &amp; Co.</w:t>
      </w:r>
    </w:p>
    <w:p w:rsidR="00DB58FA" w:rsidRDefault="00DB58FA" w:rsidP="0015084A">
      <w:r>
        <w:tab/>
      </w:r>
      <w:r>
        <w:tab/>
      </w:r>
      <w:r>
        <w:tab/>
        <w:t xml:space="preserve">John </w:t>
      </w:r>
      <w:r w:rsidRPr="00CC4FD4">
        <w:t>W</w:t>
      </w:r>
      <w:r w:rsidRPr="00CC4FD4">
        <w:rPr>
          <w:vertAlign w:val="superscript"/>
        </w:rPr>
        <w:t>m.</w:t>
      </w:r>
      <w:r w:rsidRPr="00CC4FD4">
        <w:t xml:space="preserve"> </w:t>
      </w:r>
      <w:r w:rsidR="00711050">
        <w:t xml:space="preserve"> Sa</w:t>
      </w:r>
      <w:r>
        <w:t>nders</w:t>
      </w:r>
    </w:p>
    <w:p w:rsidR="00DB58FA" w:rsidRDefault="00DB58FA" w:rsidP="0015084A">
      <w:r>
        <w:tab/>
      </w:r>
      <w:r>
        <w:tab/>
      </w:r>
      <w:r>
        <w:tab/>
        <w:t>Henry Kelligrew &amp; Co.</w:t>
      </w:r>
    </w:p>
    <w:p w:rsidR="00711050" w:rsidRDefault="00711050" w:rsidP="0015084A">
      <w:r>
        <w:tab/>
      </w:r>
      <w:r>
        <w:tab/>
      </w:r>
      <w:r>
        <w:tab/>
        <w:t>John Sanders</w:t>
      </w:r>
    </w:p>
    <w:p w:rsidR="00DB58FA" w:rsidRPr="0015084A" w:rsidRDefault="00DB58FA" w:rsidP="0015084A">
      <w:r>
        <w:lastRenderedPageBreak/>
        <w:tab/>
      </w:r>
      <w:r>
        <w:tab/>
      </w:r>
      <w:r>
        <w:tab/>
        <w:t>William Harris</w:t>
      </w:r>
    </w:p>
    <w:sectPr w:rsidR="00DB58FA" w:rsidRPr="0015084A" w:rsidSect="00DB58FA">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33" w:rsidRDefault="00D90833" w:rsidP="00B40ADE">
      <w:pPr>
        <w:spacing w:after="0" w:line="240" w:lineRule="auto"/>
      </w:pPr>
      <w:r>
        <w:separator/>
      </w:r>
    </w:p>
  </w:endnote>
  <w:endnote w:type="continuationSeparator" w:id="0">
    <w:p w:rsidR="00D90833" w:rsidRDefault="00D90833" w:rsidP="00B4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33" w:rsidRDefault="00D90833" w:rsidP="00B40ADE">
      <w:pPr>
        <w:spacing w:after="0" w:line="240" w:lineRule="auto"/>
      </w:pPr>
      <w:r>
        <w:separator/>
      </w:r>
    </w:p>
  </w:footnote>
  <w:footnote w:type="continuationSeparator" w:id="0">
    <w:p w:rsidR="00D90833" w:rsidRDefault="00D90833" w:rsidP="00B40ADE">
      <w:pPr>
        <w:spacing w:after="0" w:line="240" w:lineRule="auto"/>
      </w:pPr>
      <w:r>
        <w:continuationSeparator/>
      </w:r>
    </w:p>
  </w:footnote>
  <w:footnote w:id="1">
    <w:p w:rsidR="00B40ADE" w:rsidRDefault="00B40ADE" w:rsidP="00B40ADE">
      <w:pPr>
        <w:rPr>
          <w:rFonts w:ascii="Calibri" w:hAnsi="Calibri" w:cs="Calibri"/>
          <w:color w:val="1F497D"/>
        </w:rPr>
      </w:pPr>
      <w:r>
        <w:rPr>
          <w:rStyle w:val="FootnoteReference"/>
        </w:rPr>
        <w:footnoteRef/>
      </w:r>
      <w:r>
        <w:t xml:space="preserve"> </w:t>
      </w:r>
      <w:r>
        <w:rPr>
          <w:rFonts w:ascii="Calibri" w:hAnsi="Calibri" w:cs="Calibri"/>
          <w:color w:val="1F497D"/>
        </w:rPr>
        <w:t>Matthew Morry &amp; Co. was acting as the agent for Henry Holdsworth in signing this agreement. Other evidence suggests that there was a Master-Servant relationship between the Holdsworths and the Morrys, not surprisingly, since the Holdsworths were THE major player in Dartmouth, from a business, religion and political standpoint. But I have often wondered how far that relationship went. For example, though we know that the partners in Matthew Morry and Company were only two, Matthew Morry and Walter Prideaux, that company did not come into being until late in the 1780s and Matthew had purchased his own vessel (possibly more than one) prior to that time. I always wondered how he managed to afford that, after being a ship</w:t>
      </w:r>
      <w:r>
        <w:rPr>
          <w:color w:val="1F497D"/>
        </w:rPr>
        <w:t>’</w:t>
      </w:r>
      <w:r>
        <w:rPr>
          <w:rFonts w:ascii="Calibri" w:hAnsi="Calibri" w:cs="Calibri"/>
          <w:color w:val="1F497D"/>
        </w:rPr>
        <w:t>s master for only a year or two. I suspect he did it on loans from the Holdsworths, and that they were thus a silent partner before the official partnership with Prideaux came into being. In the High Court of Chancery repartee between Prideaux and Morry, Prideaux mocked and denigrated the ships that Matthew brought with him when the partnership was formed. But whatever shape they were in a</w:t>
      </w:r>
      <w:r>
        <w:rPr>
          <w:rFonts w:ascii="Calibri" w:hAnsi="Calibri" w:cs="Calibri"/>
          <w:color w:val="1F497D"/>
        </w:rPr>
        <w:t>t</w:t>
      </w:r>
      <w:r>
        <w:rPr>
          <w:rFonts w:ascii="Calibri" w:hAnsi="Calibri" w:cs="Calibri"/>
          <w:color w:val="1F497D"/>
        </w:rPr>
        <w:t xml:space="preserve"> that time, they were an asset that one would not expect a simple ship</w:t>
      </w:r>
      <w:r>
        <w:rPr>
          <w:color w:val="1F497D"/>
        </w:rPr>
        <w:t>’</w:t>
      </w:r>
      <w:r>
        <w:rPr>
          <w:rFonts w:ascii="Calibri" w:hAnsi="Calibri" w:cs="Calibri"/>
          <w:color w:val="1F497D"/>
        </w:rPr>
        <w:t>s master to be able to afford without financial assistance.</w:t>
      </w:r>
    </w:p>
    <w:p w:rsidR="00B40ADE" w:rsidRDefault="00B40AD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4A"/>
    <w:rsid w:val="00046064"/>
    <w:rsid w:val="00051003"/>
    <w:rsid w:val="0015084A"/>
    <w:rsid w:val="002C634F"/>
    <w:rsid w:val="002E4120"/>
    <w:rsid w:val="004435F1"/>
    <w:rsid w:val="005C62BB"/>
    <w:rsid w:val="006B00D5"/>
    <w:rsid w:val="006E328E"/>
    <w:rsid w:val="00711050"/>
    <w:rsid w:val="007143D9"/>
    <w:rsid w:val="00813C2B"/>
    <w:rsid w:val="008A2515"/>
    <w:rsid w:val="00964DE3"/>
    <w:rsid w:val="009A59B5"/>
    <w:rsid w:val="009F29E6"/>
    <w:rsid w:val="00A358E2"/>
    <w:rsid w:val="00B40ADE"/>
    <w:rsid w:val="00B70C02"/>
    <w:rsid w:val="00BC554C"/>
    <w:rsid w:val="00BE67DF"/>
    <w:rsid w:val="00C26331"/>
    <w:rsid w:val="00D90833"/>
    <w:rsid w:val="00DB58FA"/>
    <w:rsid w:val="00E121B5"/>
    <w:rsid w:val="00ED4A8C"/>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150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4A"/>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2C634F"/>
    <w:rPr>
      <w:b/>
      <w:bCs/>
      <w:i/>
      <w:iCs/>
      <w:color w:val="4F81BD" w:themeColor="accent1"/>
    </w:rPr>
  </w:style>
  <w:style w:type="paragraph" w:styleId="FootnoteText">
    <w:name w:val="footnote text"/>
    <w:basedOn w:val="Normal"/>
    <w:link w:val="FootnoteTextChar"/>
    <w:uiPriority w:val="99"/>
    <w:semiHidden/>
    <w:unhideWhenUsed/>
    <w:rsid w:val="00B40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ADE"/>
    <w:rPr>
      <w:rFonts w:eastAsiaTheme="minorEastAsia"/>
      <w:sz w:val="20"/>
      <w:szCs w:val="20"/>
    </w:rPr>
  </w:style>
  <w:style w:type="character" w:styleId="FootnoteReference">
    <w:name w:val="footnote reference"/>
    <w:basedOn w:val="DefaultParagraphFont"/>
    <w:uiPriority w:val="99"/>
    <w:semiHidden/>
    <w:unhideWhenUsed/>
    <w:rsid w:val="00B40A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150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4A"/>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2C634F"/>
    <w:rPr>
      <w:b/>
      <w:bCs/>
      <w:i/>
      <w:iCs/>
      <w:color w:val="4F81BD" w:themeColor="accent1"/>
    </w:rPr>
  </w:style>
  <w:style w:type="paragraph" w:styleId="FootnoteText">
    <w:name w:val="footnote text"/>
    <w:basedOn w:val="Normal"/>
    <w:link w:val="FootnoteTextChar"/>
    <w:uiPriority w:val="99"/>
    <w:semiHidden/>
    <w:unhideWhenUsed/>
    <w:rsid w:val="00B40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ADE"/>
    <w:rPr>
      <w:rFonts w:eastAsiaTheme="minorEastAsia"/>
      <w:sz w:val="20"/>
      <w:szCs w:val="20"/>
    </w:rPr>
  </w:style>
  <w:style w:type="character" w:styleId="FootnoteReference">
    <w:name w:val="footnote reference"/>
    <w:basedOn w:val="DefaultParagraphFont"/>
    <w:uiPriority w:val="99"/>
    <w:semiHidden/>
    <w:unhideWhenUsed/>
    <w:rsid w:val="00B40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179E-575A-4A5C-A060-B74A14F4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6</cp:revision>
  <dcterms:created xsi:type="dcterms:W3CDTF">2017-05-17T18:27:00Z</dcterms:created>
  <dcterms:modified xsi:type="dcterms:W3CDTF">2017-05-19T19:01:00Z</dcterms:modified>
</cp:coreProperties>
</file>