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B91" w:rsidRPr="002B3B91" w:rsidRDefault="002B3B91" w:rsidP="002B3B91">
      <w:pPr>
        <w:spacing w:after="0" w:line="240" w:lineRule="auto"/>
        <w:contextualSpacing w:val="0"/>
        <w:rPr>
          <w:rFonts w:ascii="Palatino Linotype" w:eastAsia="Times New Roman" w:hAnsi="Palatino Linotype"/>
          <w:b/>
          <w:sz w:val="24"/>
          <w:szCs w:val="20"/>
          <w:lang w:val="en-GB"/>
        </w:rPr>
      </w:pPr>
      <w:r w:rsidRPr="002B3B91">
        <w:rPr>
          <w:rFonts w:ascii="Palatino Linotype" w:eastAsia="Times New Roman" w:hAnsi="Palatino Linotype"/>
          <w:b/>
          <w:sz w:val="24"/>
          <w:szCs w:val="20"/>
          <w:lang w:val="en-GB"/>
        </w:rPr>
        <w:t>THE NATIONAL ARCHIVES</w:t>
      </w:r>
    </w:p>
    <w:p w:rsidR="002B3B91" w:rsidRPr="002B3B91" w:rsidRDefault="002B3B91" w:rsidP="002B3B91">
      <w:pPr>
        <w:spacing w:after="0" w:line="240" w:lineRule="auto"/>
        <w:contextualSpacing w:val="0"/>
        <w:rPr>
          <w:rFonts w:ascii="Palatino Linotype" w:eastAsia="Times New Roman" w:hAnsi="Palatino Linotype"/>
          <w:b/>
          <w:sz w:val="24"/>
          <w:szCs w:val="20"/>
          <w:lang w:val="en-GB"/>
        </w:rPr>
      </w:pPr>
    </w:p>
    <w:p w:rsidR="002B3B91" w:rsidRPr="002B3B91" w:rsidRDefault="002B3B91" w:rsidP="002B3B91">
      <w:pPr>
        <w:spacing w:after="0" w:line="240" w:lineRule="auto"/>
        <w:contextualSpacing w:val="0"/>
        <w:rPr>
          <w:rFonts w:ascii="Palatino Linotype" w:eastAsia="Times New Roman" w:hAnsi="Palatino Linotype"/>
          <w:b/>
          <w:sz w:val="24"/>
          <w:szCs w:val="20"/>
          <w:lang w:val="en-GB"/>
        </w:rPr>
      </w:pPr>
      <w:r w:rsidRPr="002B3B91">
        <w:rPr>
          <w:rFonts w:ascii="Palatino Linotype" w:eastAsia="Times New Roman" w:hAnsi="Palatino Linotype"/>
          <w:b/>
          <w:sz w:val="24"/>
          <w:szCs w:val="20"/>
          <w:lang w:val="en-GB"/>
        </w:rPr>
        <w:t>CHANCERY DECREES AND ORDERS</w:t>
      </w:r>
    </w:p>
    <w:p w:rsidR="002B3B91" w:rsidRPr="002B3B91" w:rsidRDefault="002B3B91" w:rsidP="002B3B91">
      <w:pPr>
        <w:spacing w:after="0" w:line="240" w:lineRule="auto"/>
        <w:contextualSpacing w:val="0"/>
        <w:rPr>
          <w:rFonts w:ascii="Palatino Linotype" w:eastAsia="Times New Roman" w:hAnsi="Palatino Linotype"/>
          <w:b/>
          <w:sz w:val="24"/>
          <w:szCs w:val="20"/>
          <w:lang w:val="en-GB"/>
        </w:rPr>
      </w:pPr>
    </w:p>
    <w:p w:rsidR="002B3B91" w:rsidRPr="002B3B91" w:rsidRDefault="002B3B91" w:rsidP="002B3B91">
      <w:pPr>
        <w:spacing w:after="120" w:line="240" w:lineRule="auto"/>
        <w:contextualSpacing w:val="0"/>
        <w:rPr>
          <w:rFonts w:ascii="Palatino Linotype" w:eastAsia="Times New Roman" w:hAnsi="Palatino Linotype"/>
          <w:b/>
          <w:sz w:val="24"/>
          <w:szCs w:val="20"/>
          <w:lang w:val="en-GB"/>
        </w:rPr>
      </w:pPr>
      <w:r w:rsidRPr="002B3B91">
        <w:rPr>
          <w:rFonts w:ascii="Palatino Linotype" w:eastAsia="Times New Roman" w:hAnsi="Palatino Linotype"/>
          <w:b/>
          <w:sz w:val="24"/>
          <w:szCs w:val="20"/>
          <w:lang w:val="en-GB"/>
        </w:rPr>
        <w:t>Calendars of Orders and Decrees</w:t>
      </w:r>
    </w:p>
    <w:p w:rsidR="002B3B91" w:rsidRPr="002B3B91" w:rsidRDefault="002B3B91" w:rsidP="002B3B91">
      <w:pPr>
        <w:spacing w:after="120" w:line="240" w:lineRule="auto"/>
        <w:contextualSpacing w:val="0"/>
        <w:rPr>
          <w:rFonts w:ascii="Palatino Linotype" w:eastAsia="Times New Roman" w:hAnsi="Palatino Linotype"/>
          <w:sz w:val="24"/>
          <w:szCs w:val="20"/>
          <w:lang w:val="en-GB"/>
        </w:rPr>
      </w:pPr>
      <w:r w:rsidRPr="002B3B91">
        <w:rPr>
          <w:rFonts w:ascii="Palatino Linotype" w:eastAsia="Times New Roman" w:hAnsi="Palatino Linotype"/>
          <w:sz w:val="24"/>
          <w:szCs w:val="20"/>
          <w:lang w:val="en-GB"/>
        </w:rPr>
        <w:t>These are arranged chronologically by law term, then alphabetically by the initial letter of the surname of the principal plaintiff</w:t>
      </w:r>
    </w:p>
    <w:p w:rsidR="002B3B91" w:rsidRPr="002B3B91" w:rsidRDefault="002B3B91" w:rsidP="002B3B91">
      <w:pPr>
        <w:spacing w:after="0" w:line="240" w:lineRule="auto"/>
        <w:contextualSpacing w:val="0"/>
        <w:rPr>
          <w:rFonts w:ascii="Palatino Linotype" w:eastAsia="Times New Roman" w:hAnsi="Palatino Linotype"/>
          <w:i/>
          <w:sz w:val="24"/>
          <w:szCs w:val="20"/>
          <w:lang w:val="en-GB"/>
        </w:rPr>
      </w:pPr>
      <w:r w:rsidRPr="002B3B91">
        <w:rPr>
          <w:rFonts w:ascii="Palatino Linotype" w:eastAsia="Times New Roman" w:hAnsi="Palatino Linotype"/>
          <w:i/>
          <w:sz w:val="24"/>
          <w:szCs w:val="20"/>
          <w:lang w:val="en-GB"/>
        </w:rPr>
        <w:t>Search for all Morry entries 1811 to 1822</w:t>
      </w:r>
    </w:p>
    <w:p w:rsidR="002B3B91" w:rsidRPr="002B3B91" w:rsidRDefault="002B3B91" w:rsidP="002B3B91">
      <w:pPr>
        <w:spacing w:after="0" w:line="240" w:lineRule="auto"/>
        <w:contextualSpacing w:val="0"/>
        <w:rPr>
          <w:rFonts w:ascii="Palatino Linotype" w:eastAsia="Times New Roman" w:hAnsi="Palatino Linotype"/>
          <w:i/>
          <w:sz w:val="24"/>
          <w:szCs w:val="20"/>
          <w:lang w:val="en-GB"/>
        </w:rPr>
      </w:pPr>
      <w:r w:rsidRPr="002B3B91">
        <w:rPr>
          <w:rFonts w:ascii="Palatino Linotype" w:eastAsia="Times New Roman" w:hAnsi="Palatino Linotype"/>
          <w:i/>
          <w:sz w:val="24"/>
          <w:szCs w:val="20"/>
          <w:lang w:val="en-GB"/>
        </w:rPr>
        <w:t xml:space="preserve">Those where the original record has been seen marked in </w:t>
      </w:r>
      <w:r w:rsidRPr="002B3B91">
        <w:rPr>
          <w:rFonts w:ascii="Palatino Linotype" w:eastAsia="Times New Roman" w:hAnsi="Palatino Linotype"/>
          <w:i/>
          <w:sz w:val="24"/>
          <w:szCs w:val="20"/>
          <w:highlight w:val="lightGray"/>
          <w:lang w:val="en-GB"/>
        </w:rPr>
        <w:t>grey</w:t>
      </w:r>
    </w:p>
    <w:p w:rsidR="002B3B91" w:rsidRPr="002B3B91" w:rsidRDefault="002B3B91" w:rsidP="002B3B91">
      <w:pPr>
        <w:spacing w:after="0" w:line="240" w:lineRule="auto"/>
        <w:contextualSpacing w:val="0"/>
        <w:rPr>
          <w:rFonts w:ascii="Palatino Linotype" w:eastAsia="Times New Roman" w:hAnsi="Palatino Linotype"/>
          <w:b/>
          <w:sz w:val="24"/>
          <w:szCs w:val="20"/>
          <w:lang w:val="en-GB"/>
        </w:rPr>
      </w:pPr>
    </w:p>
    <w:p w:rsidR="002B3B91" w:rsidRPr="002B3B91" w:rsidRDefault="002B3B91" w:rsidP="002B3B91">
      <w:pPr>
        <w:spacing w:after="0" w:line="240" w:lineRule="auto"/>
        <w:contextualSpacing w:val="0"/>
        <w:rPr>
          <w:rFonts w:ascii="Palatino Linotype" w:eastAsia="Times New Roman" w:hAnsi="Palatino Linotype"/>
          <w:b/>
          <w:sz w:val="24"/>
          <w:szCs w:val="20"/>
          <w:lang w:val="en-GB"/>
        </w:rPr>
      </w:pPr>
      <w:r w:rsidRPr="002B3B91">
        <w:rPr>
          <w:rFonts w:ascii="Palatino Linotype" w:eastAsia="Times New Roman" w:hAnsi="Palatino Linotype"/>
          <w:b/>
          <w:sz w:val="24"/>
          <w:szCs w:val="20"/>
          <w:lang w:val="en-GB"/>
        </w:rPr>
        <w:t>IND 1/10699/34</w:t>
      </w:r>
    </w:p>
    <w:p w:rsidR="002B3B91" w:rsidRPr="002B3B91" w:rsidRDefault="002B3B91" w:rsidP="002B3B91">
      <w:pPr>
        <w:spacing w:after="0" w:line="240" w:lineRule="auto"/>
        <w:contextualSpacing w:val="0"/>
        <w:rPr>
          <w:rFonts w:ascii="Palatino Linotype" w:eastAsia="Times New Roman" w:hAnsi="Palatino Linotype"/>
          <w:sz w:val="24"/>
          <w:szCs w:val="20"/>
          <w:lang w:val="en-GB"/>
        </w:rPr>
      </w:pPr>
      <w:r w:rsidRPr="002B3B91">
        <w:rPr>
          <w:rFonts w:ascii="Palatino Linotype" w:eastAsia="Times New Roman" w:hAnsi="Palatino Linotype"/>
          <w:sz w:val="24"/>
          <w:szCs w:val="20"/>
          <w:lang w:val="en-GB"/>
        </w:rPr>
        <w:t>Michaelmas 1817 to Trinity 1818</w:t>
      </w:r>
    </w:p>
    <w:p w:rsidR="002B3B91" w:rsidRPr="002B3B91" w:rsidRDefault="002B3B91" w:rsidP="002B3B91">
      <w:pPr>
        <w:tabs>
          <w:tab w:val="left" w:pos="2880"/>
          <w:tab w:val="left" w:pos="4680"/>
        </w:tabs>
        <w:spacing w:after="0" w:line="240" w:lineRule="auto"/>
        <w:contextualSpacing w:val="0"/>
        <w:rPr>
          <w:rFonts w:ascii="Palatino Linotype" w:eastAsia="Times New Roman" w:hAnsi="Palatino Linotype"/>
          <w:sz w:val="24"/>
          <w:szCs w:val="20"/>
          <w:lang w:val="en-GB"/>
        </w:rPr>
      </w:pPr>
      <w:r>
        <w:rPr>
          <w:rFonts w:ascii="Palatino Linotype" w:eastAsia="Times New Roman" w:hAnsi="Palatino Linotype"/>
          <w:sz w:val="24"/>
          <w:szCs w:val="20"/>
          <w:highlight w:val="lightGray"/>
          <w:lang w:val="en-GB"/>
        </w:rPr>
        <w:t>Morry  v Prideaux</w:t>
      </w:r>
      <w:r>
        <w:rPr>
          <w:rFonts w:ascii="Palatino Linotype" w:eastAsia="Times New Roman" w:hAnsi="Palatino Linotype"/>
          <w:sz w:val="24"/>
          <w:szCs w:val="20"/>
          <w:highlight w:val="lightGray"/>
          <w:lang w:val="en-GB"/>
        </w:rPr>
        <w:tab/>
        <w:t>folio 1067</w:t>
      </w:r>
      <w:r w:rsidRPr="002B3B91">
        <w:rPr>
          <w:rFonts w:ascii="Palatino Linotype" w:eastAsia="Times New Roman" w:hAnsi="Palatino Linotype"/>
          <w:sz w:val="24"/>
          <w:szCs w:val="20"/>
          <w:highlight w:val="lightGray"/>
          <w:lang w:val="en-GB"/>
        </w:rPr>
        <w:tab/>
        <w:t>C 33/651</w:t>
      </w:r>
    </w:p>
    <w:p w:rsidR="002B3B91" w:rsidRPr="002B3B91" w:rsidRDefault="002B3B91" w:rsidP="002B3B91">
      <w:pPr>
        <w:tabs>
          <w:tab w:val="left" w:pos="2880"/>
          <w:tab w:val="left" w:pos="4680"/>
        </w:tabs>
        <w:spacing w:after="0" w:line="240" w:lineRule="auto"/>
        <w:contextualSpacing w:val="0"/>
        <w:rPr>
          <w:rFonts w:ascii="Palatino Linotype" w:eastAsia="Times New Roman" w:hAnsi="Palatino Linotype"/>
          <w:sz w:val="24"/>
          <w:szCs w:val="20"/>
          <w:lang w:val="en-GB"/>
        </w:rPr>
      </w:pPr>
    </w:p>
    <w:p w:rsidR="002B3B91" w:rsidRPr="002B3B91" w:rsidRDefault="002B3B91" w:rsidP="002B3B91">
      <w:pPr>
        <w:spacing w:after="0" w:line="240" w:lineRule="auto"/>
        <w:contextualSpacing w:val="0"/>
        <w:rPr>
          <w:rFonts w:ascii="Palatino Linotype" w:eastAsia="Times New Roman" w:hAnsi="Palatino Linotype"/>
          <w:b/>
          <w:sz w:val="24"/>
          <w:szCs w:val="20"/>
          <w:lang w:val="en-GB"/>
        </w:rPr>
      </w:pPr>
      <w:r w:rsidRPr="002B3B91">
        <w:rPr>
          <w:rFonts w:ascii="Palatino Linotype" w:eastAsia="Times New Roman" w:hAnsi="Palatino Linotype"/>
          <w:b/>
          <w:sz w:val="24"/>
          <w:szCs w:val="20"/>
          <w:lang w:val="en-GB"/>
        </w:rPr>
        <w:t>Original documents</w:t>
      </w:r>
    </w:p>
    <w:p w:rsidR="002B3B91" w:rsidRPr="002B3B91" w:rsidRDefault="002B3B91" w:rsidP="002B3B91">
      <w:pPr>
        <w:tabs>
          <w:tab w:val="left" w:pos="2880"/>
          <w:tab w:val="left" w:pos="4680"/>
        </w:tabs>
        <w:spacing w:after="0" w:line="240" w:lineRule="auto"/>
        <w:contextualSpacing w:val="0"/>
        <w:rPr>
          <w:rFonts w:ascii="Palatino Linotype" w:eastAsia="Times New Roman" w:hAnsi="Palatino Linotype"/>
          <w:sz w:val="24"/>
          <w:szCs w:val="20"/>
          <w:lang w:val="en-GB"/>
        </w:rPr>
      </w:pPr>
    </w:p>
    <w:p w:rsidR="002B3B91" w:rsidRPr="002B3B91" w:rsidRDefault="002B3B91" w:rsidP="002B3B91">
      <w:pPr>
        <w:tabs>
          <w:tab w:val="left" w:pos="2880"/>
          <w:tab w:val="left" w:pos="4680"/>
        </w:tabs>
        <w:spacing w:after="0" w:line="240" w:lineRule="auto"/>
        <w:ind w:left="720"/>
        <w:contextualSpacing w:val="0"/>
        <w:rPr>
          <w:rFonts w:ascii="Palatino Linotype" w:eastAsia="Times New Roman" w:hAnsi="Palatino Linotype"/>
          <w:b/>
          <w:i/>
          <w:sz w:val="24"/>
          <w:szCs w:val="20"/>
          <w:lang w:val="en-GB"/>
        </w:rPr>
      </w:pPr>
      <w:r>
        <w:rPr>
          <w:rFonts w:ascii="Palatino Linotype" w:eastAsia="Times New Roman" w:hAnsi="Palatino Linotype"/>
          <w:b/>
          <w:i/>
          <w:sz w:val="24"/>
          <w:szCs w:val="20"/>
          <w:lang w:val="en-GB"/>
        </w:rPr>
        <w:t>C 33/651 folio 1067</w:t>
      </w:r>
      <w:r w:rsidRPr="002B3B91">
        <w:rPr>
          <w:rFonts w:ascii="Palatino Linotype" w:eastAsia="Times New Roman" w:hAnsi="Palatino Linotype"/>
          <w:b/>
          <w:i/>
          <w:sz w:val="24"/>
          <w:szCs w:val="20"/>
          <w:vertAlign w:val="superscript"/>
          <w:lang w:val="en-GB"/>
        </w:rPr>
        <w:footnoteReference w:id="1"/>
      </w:r>
    </w:p>
    <w:p w:rsidR="002B3B91" w:rsidRPr="002B3B91" w:rsidRDefault="002B3B91" w:rsidP="002B3B91">
      <w:pPr>
        <w:tabs>
          <w:tab w:val="left" w:pos="2880"/>
          <w:tab w:val="left" w:pos="4680"/>
        </w:tabs>
        <w:spacing w:after="0" w:line="240" w:lineRule="auto"/>
        <w:ind w:left="720"/>
        <w:contextualSpacing w:val="0"/>
        <w:rPr>
          <w:rFonts w:ascii="Palatino Linotype" w:eastAsia="Times New Roman" w:hAnsi="Palatino Linotype"/>
          <w:i/>
          <w:sz w:val="24"/>
          <w:szCs w:val="20"/>
          <w:lang w:val="en-GB"/>
        </w:rPr>
      </w:pPr>
      <w:r>
        <w:rPr>
          <w:rFonts w:ascii="Palatino Linotype" w:eastAsia="Times New Roman" w:hAnsi="Palatino Linotype"/>
          <w:i/>
          <w:sz w:val="24"/>
          <w:szCs w:val="20"/>
          <w:lang w:val="en-GB"/>
        </w:rPr>
        <w:tab/>
      </w:r>
      <w:r>
        <w:rPr>
          <w:rFonts w:ascii="Palatino Linotype" w:eastAsia="Times New Roman" w:hAnsi="Palatino Linotype"/>
          <w:i/>
          <w:sz w:val="24"/>
          <w:szCs w:val="20"/>
          <w:lang w:val="en-GB"/>
        </w:rPr>
        <w:tab/>
      </w:r>
      <w:r>
        <w:rPr>
          <w:rFonts w:ascii="Palatino Linotype" w:eastAsia="Times New Roman" w:hAnsi="Palatino Linotype"/>
          <w:i/>
          <w:sz w:val="24"/>
          <w:szCs w:val="20"/>
          <w:lang w:val="en-GB"/>
        </w:rPr>
        <w:tab/>
      </w:r>
      <w:r>
        <w:rPr>
          <w:rFonts w:ascii="Palatino Linotype" w:eastAsia="Times New Roman" w:hAnsi="Palatino Linotype"/>
          <w:i/>
          <w:sz w:val="24"/>
          <w:szCs w:val="20"/>
          <w:lang w:val="en-GB"/>
        </w:rPr>
        <w:tab/>
      </w:r>
      <w:r w:rsidRPr="002B3B91">
        <w:rPr>
          <w:rFonts w:ascii="Palatino Linotype" w:eastAsia="Times New Roman" w:hAnsi="Palatino Linotype"/>
          <w:i/>
          <w:sz w:val="24"/>
          <w:szCs w:val="20"/>
          <w:lang w:val="en-GB"/>
        </w:rPr>
        <w:t>1</w:t>
      </w:r>
      <w:r>
        <w:rPr>
          <w:rFonts w:ascii="Palatino Linotype" w:eastAsia="Times New Roman" w:hAnsi="Palatino Linotype"/>
          <w:i/>
          <w:sz w:val="24"/>
          <w:szCs w:val="20"/>
          <w:lang w:val="en-GB"/>
        </w:rPr>
        <w:t>8 June</w:t>
      </w:r>
      <w:r w:rsidRPr="002B3B91">
        <w:rPr>
          <w:rFonts w:ascii="Palatino Linotype" w:eastAsia="Times New Roman" w:hAnsi="Palatino Linotype"/>
          <w:i/>
          <w:sz w:val="24"/>
          <w:szCs w:val="20"/>
          <w:lang w:val="en-GB"/>
        </w:rPr>
        <w:t xml:space="preserve"> 1818</w:t>
      </w:r>
    </w:p>
    <w:p w:rsidR="002B3B91" w:rsidRPr="002B3B91" w:rsidRDefault="002B3B91" w:rsidP="002B3B91">
      <w:pPr>
        <w:tabs>
          <w:tab w:val="left" w:pos="2880"/>
          <w:tab w:val="left" w:pos="4680"/>
        </w:tabs>
        <w:spacing w:after="0" w:line="240" w:lineRule="auto"/>
        <w:ind w:left="720"/>
        <w:contextualSpacing w:val="0"/>
        <w:rPr>
          <w:rFonts w:ascii="Palatino Linotype" w:eastAsia="Times New Roman" w:hAnsi="Palatino Linotype"/>
          <w:i/>
          <w:sz w:val="24"/>
          <w:szCs w:val="20"/>
          <w:lang w:val="en-GB"/>
        </w:rPr>
      </w:pPr>
      <w:r w:rsidRPr="002B3B91">
        <w:rPr>
          <w:rFonts w:ascii="Palatino Linotype" w:eastAsia="Times New Roman" w:hAnsi="Palatino Linotype"/>
          <w:i/>
          <w:sz w:val="24"/>
          <w:szCs w:val="20"/>
          <w:lang w:val="en-GB"/>
        </w:rPr>
        <w:t>Matthew Morry</w:t>
      </w:r>
      <w:r>
        <w:rPr>
          <w:rFonts w:ascii="Palatino Linotype" w:eastAsia="Times New Roman" w:hAnsi="Palatino Linotype"/>
          <w:i/>
          <w:sz w:val="24"/>
          <w:szCs w:val="20"/>
          <w:lang w:val="en-GB"/>
        </w:rPr>
        <w:t>-----------------------------Plt} To the Sheriff of Devonshire Attach Defts for not Answering</w:t>
      </w:r>
    </w:p>
    <w:p w:rsidR="002B3B91" w:rsidRPr="002B3B91" w:rsidRDefault="002B3B91" w:rsidP="002B3B91">
      <w:pPr>
        <w:tabs>
          <w:tab w:val="left" w:pos="2880"/>
          <w:tab w:val="left" w:pos="4680"/>
        </w:tabs>
        <w:spacing w:after="0" w:line="240" w:lineRule="auto"/>
        <w:ind w:left="720"/>
        <w:contextualSpacing w:val="0"/>
        <w:rPr>
          <w:rFonts w:ascii="Palatino Linotype" w:eastAsia="Times New Roman" w:hAnsi="Palatino Linotype"/>
          <w:i/>
          <w:sz w:val="24"/>
          <w:szCs w:val="20"/>
          <w:lang w:val="en-GB"/>
        </w:rPr>
      </w:pPr>
      <w:r w:rsidRPr="002B3B91">
        <w:rPr>
          <w:rFonts w:ascii="Palatino Linotype" w:eastAsia="Times New Roman" w:hAnsi="Palatino Linotype"/>
          <w:i/>
          <w:sz w:val="24"/>
          <w:szCs w:val="20"/>
          <w:lang w:val="en-GB"/>
        </w:rPr>
        <w:t>Walter Prideaux and John Square</w:t>
      </w:r>
      <w:r>
        <w:rPr>
          <w:rFonts w:ascii="Palatino Linotype" w:eastAsia="Times New Roman" w:hAnsi="Palatino Linotype"/>
          <w:i/>
          <w:sz w:val="24"/>
          <w:szCs w:val="20"/>
          <w:lang w:val="en-GB"/>
        </w:rPr>
        <w:t>-----</w:t>
      </w:r>
      <w:r w:rsidRPr="002B3B91">
        <w:rPr>
          <w:rFonts w:ascii="Palatino Linotype" w:eastAsia="Times New Roman" w:hAnsi="Palatino Linotype"/>
          <w:i/>
          <w:sz w:val="24"/>
          <w:szCs w:val="20"/>
          <w:lang w:val="en-GB"/>
        </w:rPr>
        <w:t xml:space="preserve"> </w:t>
      </w:r>
      <w:r>
        <w:rPr>
          <w:rFonts w:ascii="Palatino Linotype" w:eastAsia="Times New Roman" w:hAnsi="Palatino Linotype"/>
          <w:i/>
          <w:sz w:val="24"/>
          <w:szCs w:val="20"/>
          <w:lang w:val="en-GB"/>
        </w:rPr>
        <w:t xml:space="preserve">Defts} </w:t>
      </w:r>
      <w:proofErr w:type="spellStart"/>
      <w:r>
        <w:rPr>
          <w:rFonts w:ascii="Palatino Linotype" w:eastAsia="Times New Roman" w:hAnsi="Palatino Linotype"/>
          <w:i/>
          <w:sz w:val="24"/>
          <w:szCs w:val="20"/>
          <w:lang w:val="en-GB"/>
        </w:rPr>
        <w:t>ats</w:t>
      </w:r>
      <w:proofErr w:type="spellEnd"/>
      <w:r>
        <w:rPr>
          <w:rFonts w:ascii="Palatino Linotype" w:eastAsia="Times New Roman" w:hAnsi="Palatino Linotype"/>
          <w:i/>
          <w:sz w:val="24"/>
          <w:szCs w:val="20"/>
          <w:lang w:val="en-GB"/>
        </w:rPr>
        <w:t xml:space="preserve"> of Plt </w:t>
      </w:r>
      <w:proofErr w:type="spellStart"/>
      <w:r>
        <w:rPr>
          <w:rFonts w:ascii="Palatino Linotype" w:eastAsia="Times New Roman" w:hAnsi="Palatino Linotype"/>
          <w:i/>
          <w:sz w:val="24"/>
          <w:szCs w:val="20"/>
          <w:lang w:val="en-GB"/>
        </w:rPr>
        <w:t>recv</w:t>
      </w:r>
      <w:r w:rsidRPr="002B3B91">
        <w:rPr>
          <w:rFonts w:ascii="Palatino Linotype" w:eastAsia="Times New Roman" w:hAnsi="Palatino Linotype"/>
          <w:i/>
          <w:sz w:val="24"/>
          <w:szCs w:val="20"/>
          <w:vertAlign w:val="superscript"/>
          <w:lang w:val="en-GB"/>
        </w:rPr>
        <w:t>d</w:t>
      </w:r>
      <w:proofErr w:type="spellEnd"/>
      <w:r>
        <w:rPr>
          <w:rFonts w:ascii="Palatino Linotype" w:eastAsia="Times New Roman" w:hAnsi="Palatino Linotype"/>
          <w:i/>
          <w:sz w:val="24"/>
          <w:szCs w:val="20"/>
          <w:lang w:val="en-GB"/>
        </w:rPr>
        <w:t xml:space="preserve"> on the Morrow of All Souls next</w:t>
      </w:r>
      <w:r>
        <w:rPr>
          <w:rFonts w:ascii="Palatino Linotype" w:eastAsia="Times New Roman" w:hAnsi="Palatino Linotype"/>
          <w:i/>
          <w:sz w:val="24"/>
          <w:szCs w:val="20"/>
          <w:lang w:val="en-GB"/>
        </w:rPr>
        <w:tab/>
        <w:t>Wainwright</w:t>
      </w:r>
    </w:p>
    <w:p w:rsidR="00046064" w:rsidRDefault="00046064"/>
    <w:p w:rsidR="002B3B91" w:rsidRPr="002B3B91" w:rsidRDefault="002B3B91" w:rsidP="002B3B91">
      <w:pPr>
        <w:tabs>
          <w:tab w:val="left" w:pos="2880"/>
          <w:tab w:val="left" w:pos="4680"/>
        </w:tabs>
        <w:spacing w:after="0" w:line="240" w:lineRule="auto"/>
        <w:contextualSpacing w:val="0"/>
        <w:rPr>
          <w:rFonts w:ascii="Palatino Linotype" w:eastAsia="Times New Roman" w:hAnsi="Palatino Linotype"/>
          <w:b/>
          <w:sz w:val="24"/>
          <w:szCs w:val="20"/>
          <w:lang w:val="en-GB"/>
        </w:rPr>
      </w:pPr>
      <w:r w:rsidRPr="002B3B91">
        <w:rPr>
          <w:rFonts w:ascii="Palatino Linotype" w:eastAsia="Times New Roman" w:hAnsi="Palatino Linotype"/>
          <w:b/>
          <w:sz w:val="24"/>
          <w:szCs w:val="20"/>
          <w:lang w:val="en-GB"/>
        </w:rPr>
        <w:t>Editorial Comments:</w:t>
      </w:r>
    </w:p>
    <w:p w:rsidR="002B3B91" w:rsidRPr="002B3B91" w:rsidRDefault="002B3B91" w:rsidP="002B3B91">
      <w:pPr>
        <w:tabs>
          <w:tab w:val="left" w:pos="2880"/>
          <w:tab w:val="left" w:pos="4680"/>
        </w:tabs>
        <w:spacing w:after="0" w:line="240" w:lineRule="auto"/>
        <w:contextualSpacing w:val="0"/>
        <w:rPr>
          <w:rFonts w:ascii="Palatino Linotype" w:eastAsia="Times New Roman" w:hAnsi="Palatino Linotype"/>
          <w:sz w:val="24"/>
          <w:szCs w:val="20"/>
          <w:lang w:val="en-GB"/>
        </w:rPr>
      </w:pPr>
    </w:p>
    <w:p w:rsidR="002B3B91" w:rsidRDefault="002B3B91" w:rsidP="002B3B91">
      <w:r>
        <w:rPr>
          <w:rFonts w:ascii="Palatino Linotype" w:eastAsia="Times New Roman" w:hAnsi="Palatino Linotype"/>
          <w:sz w:val="24"/>
          <w:szCs w:val="20"/>
          <w:lang w:val="en-GB"/>
        </w:rPr>
        <w:t xml:space="preserve">In what would become a repeated refrain in this and similar cases involving Matthew Morry and his former partner, Walter Prideaux, this small entry in the Chancery Decrees and Orders shows how a talented lawyer like Prideaux could </w:t>
      </w:r>
      <w:r>
        <w:rPr>
          <w:rFonts w:ascii="Palatino Linotype" w:eastAsia="Times New Roman" w:hAnsi="Palatino Linotype"/>
          <w:sz w:val="24"/>
          <w:szCs w:val="20"/>
          <w:lang w:val="en-GB"/>
        </w:rPr>
        <w:lastRenderedPageBreak/>
        <w:t>play the system by delay after delay in hopes of wearing down his opponent and causing the case to be dropped. Here we see a court order to the Sheriff dated on June 18, 1818 to attach the defendants on the day after All Soul’s Day next, November 1, 1818! This extraordinary latitude being extended to the defendants can only be explained by the fact that Prideaux himself was a duly appointed officer of the High Court of Chancery and the institution was looking after the interests of one of its own.</w:t>
      </w:r>
      <w:r w:rsidR="00A55C18">
        <w:rPr>
          <w:rFonts w:ascii="Palatino Linotype" w:eastAsia="Times New Roman" w:hAnsi="Palatino Linotype"/>
          <w:sz w:val="24"/>
          <w:szCs w:val="20"/>
          <w:lang w:val="en-GB"/>
        </w:rPr>
        <w:t xml:space="preserve"> Justice delayed is indeed justice denied.</w:t>
      </w:r>
      <w:bookmarkStart w:id="0" w:name="_GoBack"/>
      <w:bookmarkEnd w:id="0"/>
      <w:r>
        <w:rPr>
          <w:rFonts w:ascii="Palatino Linotype" w:eastAsia="Times New Roman" w:hAnsi="Palatino Linotype"/>
          <w:sz w:val="24"/>
          <w:szCs w:val="20"/>
          <w:lang w:val="en-GB"/>
        </w:rPr>
        <w:t xml:space="preserve"> </w:t>
      </w:r>
    </w:p>
    <w:sectPr w:rsidR="002B3B91" w:rsidSect="002B3B9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642" w:rsidRDefault="00630642" w:rsidP="002B3B91">
      <w:pPr>
        <w:spacing w:after="0" w:line="240" w:lineRule="auto"/>
      </w:pPr>
      <w:r>
        <w:separator/>
      </w:r>
    </w:p>
  </w:endnote>
  <w:endnote w:type="continuationSeparator" w:id="0">
    <w:p w:rsidR="00630642" w:rsidRDefault="00630642" w:rsidP="002B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642" w:rsidRDefault="00630642" w:rsidP="002B3B91">
      <w:pPr>
        <w:spacing w:after="0" w:line="240" w:lineRule="auto"/>
      </w:pPr>
      <w:r>
        <w:separator/>
      </w:r>
    </w:p>
  </w:footnote>
  <w:footnote w:type="continuationSeparator" w:id="0">
    <w:p w:rsidR="00630642" w:rsidRDefault="00630642" w:rsidP="002B3B91">
      <w:pPr>
        <w:spacing w:after="0" w:line="240" w:lineRule="auto"/>
      </w:pPr>
      <w:r>
        <w:continuationSeparator/>
      </w:r>
    </w:p>
  </w:footnote>
  <w:footnote w:id="1">
    <w:p w:rsidR="002B3B91" w:rsidRPr="001D72DF" w:rsidRDefault="002B3B91" w:rsidP="002B3B91">
      <w:pPr>
        <w:pStyle w:val="FootnoteText"/>
        <w:rPr>
          <w:lang w:val="en-CA"/>
        </w:rPr>
      </w:pPr>
      <w:r>
        <w:rPr>
          <w:rStyle w:val="FootnoteReference"/>
        </w:rPr>
        <w:footnoteRef/>
      </w:r>
      <w:r>
        <w:t xml:space="preserve"> </w:t>
      </w:r>
      <w:r>
        <w:rPr>
          <w:lang w:val="en-CA"/>
        </w:rPr>
        <w:t xml:space="preserve">This transcript prepared by </w:t>
      </w:r>
      <w:r>
        <w:rPr>
          <w:lang w:val="en-CA"/>
        </w:rPr>
        <w:t xml:space="preserve">me. </w:t>
      </w:r>
      <w:r>
        <w:rPr>
          <w:lang w:val="en-CA"/>
        </w:rPr>
        <w:t>Susan Moore, a researcher specialising in Chancery Court cases</w:t>
      </w:r>
      <w:r>
        <w:rPr>
          <w:lang w:val="en-CA"/>
        </w:rPr>
        <w:t>, collected and transcribed other entries pertaining to this case but missed this and a number of others which I found and photographed during a visit to the National Archives in April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5A"/>
    <w:rsid w:val="00046064"/>
    <w:rsid w:val="002B3B91"/>
    <w:rsid w:val="002E4120"/>
    <w:rsid w:val="003F285A"/>
    <w:rsid w:val="00630642"/>
    <w:rsid w:val="006E328E"/>
    <w:rsid w:val="009F29E6"/>
    <w:rsid w:val="00A55C18"/>
    <w:rsid w:val="00B70C02"/>
    <w:rsid w:val="00C26331"/>
    <w:rsid w:val="00E121B5"/>
    <w:rsid w:val="00FB6168"/>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3B91"/>
    <w:pPr>
      <w:spacing w:after="0" w:line="240" w:lineRule="auto"/>
      <w:contextualSpacing w:val="0"/>
    </w:pPr>
    <w:rPr>
      <w:rFonts w:ascii="Times New Roman" w:eastAsia="Times New Roman"/>
      <w:sz w:val="20"/>
      <w:szCs w:val="20"/>
      <w:lang w:val="en-GB"/>
    </w:rPr>
  </w:style>
  <w:style w:type="character" w:customStyle="1" w:styleId="FootnoteTextChar">
    <w:name w:val="Footnote Text Char"/>
    <w:basedOn w:val="DefaultParagraphFont"/>
    <w:link w:val="FootnoteText"/>
    <w:uiPriority w:val="99"/>
    <w:semiHidden/>
    <w:rsid w:val="002B3B91"/>
    <w:rPr>
      <w:rFonts w:ascii="Times New Roman" w:eastAsia="Times New Roman"/>
      <w:sz w:val="20"/>
      <w:szCs w:val="20"/>
      <w:lang w:val="en-GB"/>
    </w:rPr>
  </w:style>
  <w:style w:type="character" w:styleId="FootnoteReference">
    <w:name w:val="footnote reference"/>
    <w:basedOn w:val="DefaultParagraphFont"/>
    <w:uiPriority w:val="99"/>
    <w:semiHidden/>
    <w:unhideWhenUsed/>
    <w:rsid w:val="002B3B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3B91"/>
    <w:pPr>
      <w:spacing w:after="0" w:line="240" w:lineRule="auto"/>
      <w:contextualSpacing w:val="0"/>
    </w:pPr>
    <w:rPr>
      <w:rFonts w:ascii="Times New Roman" w:eastAsia="Times New Roman"/>
      <w:sz w:val="20"/>
      <w:szCs w:val="20"/>
      <w:lang w:val="en-GB"/>
    </w:rPr>
  </w:style>
  <w:style w:type="character" w:customStyle="1" w:styleId="FootnoteTextChar">
    <w:name w:val="Footnote Text Char"/>
    <w:basedOn w:val="DefaultParagraphFont"/>
    <w:link w:val="FootnoteText"/>
    <w:uiPriority w:val="99"/>
    <w:semiHidden/>
    <w:rsid w:val="002B3B91"/>
    <w:rPr>
      <w:rFonts w:ascii="Times New Roman" w:eastAsia="Times New Roman"/>
      <w:sz w:val="20"/>
      <w:szCs w:val="20"/>
      <w:lang w:val="en-GB"/>
    </w:rPr>
  </w:style>
  <w:style w:type="character" w:styleId="FootnoteReference">
    <w:name w:val="footnote reference"/>
    <w:basedOn w:val="DefaultParagraphFont"/>
    <w:uiPriority w:val="99"/>
    <w:semiHidden/>
    <w:unhideWhenUsed/>
    <w:rsid w:val="002B3B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dc:description/>
  <cp:lastModifiedBy>CJ</cp:lastModifiedBy>
  <cp:revision>3</cp:revision>
  <dcterms:created xsi:type="dcterms:W3CDTF">2017-05-02T23:11:00Z</dcterms:created>
  <dcterms:modified xsi:type="dcterms:W3CDTF">2017-05-02T23:24:00Z</dcterms:modified>
</cp:coreProperties>
</file>